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60" w:lineRule="exact"/>
        <w:jc w:val="center"/>
        <w:textAlignment w:val="baseline"/>
        <w:rPr>
          <w:rFonts w:hint="eastAsia" w:ascii="宋体" w:hAnsi="宋体" w:eastAsia="宋体" w:cs="宋体"/>
          <w:sz w:val="28"/>
          <w:szCs w:val="28"/>
        </w:rPr>
      </w:pPr>
      <w:bookmarkStart w:id="0" w:name="_Toc20210"/>
      <w:r>
        <w:rPr>
          <w:rFonts w:hint="eastAsia" w:ascii="宋体" w:hAnsi="宋体" w:eastAsia="宋体" w:cs="宋体"/>
          <w:sz w:val="28"/>
          <w:szCs w:val="28"/>
        </w:rPr>
        <w:t>采购需求</w:t>
      </w:r>
      <w:bookmarkEnd w:id="0"/>
    </w:p>
    <w:p/>
    <w:tbl>
      <w:tblPr>
        <w:tblStyle w:val="7"/>
        <w:tblW w:w="528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6123"/>
        <w:gridCol w:w="776"/>
        <w:gridCol w:w="7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4" w:hRule="atLeast"/>
        </w:trPr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疾控信创前置机</w:t>
            </w:r>
          </w:p>
        </w:tc>
        <w:tc>
          <w:tcPr>
            <w:tcW w:w="3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1、2U机架式设备，2颗国产化CPU，物理核数≥48 核，不低于2.5GHz主频，内存≥128G，系统盘≥2块480G SSD，存储≥2块960G SSD（raid1），配置冗余电源，接口≥4个千兆电口，≥2个万兆光口（含模块），提供3年质保和上门技术支持服务；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2、配置2颗CPU的计算虚拟化授权，虚拟化软件非OEM或贴牌产品，禁止借用第三方软件的整合，以保证功能的可靠性和安全性；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3、为避免平台故障导致业务受影响，平台需支持一键健康检测功能，可选择检测对象，包括系统运行状态检测、系统配置检测、硬件健康检测等；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4、平台具备基本资源监控功能，支持查看CPU、网络和磁盘已使用实时数据信息，可以点击告警设置对CPU、网络和磁盘进行占用阈值设置操作，可以以短信、邮箱等方式进行告警通知；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5、★支持漏洞及版本信息巡检，推送补丁及升级信息，并支持补丁管理、更新、回滚；（供应商需提供有效证明材料）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6、为保障管理员使用便捷，虚拟机可以实现物理机的全部功能，如具有自己的资源（内存、CPU、网卡、存储），可以指定单独的IP地址、MAC地址等；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7、★为简化运维和方便使用，需提供基于PowerShell的CLI命令行功能，通过命令行可以管理计算、存储、网络等相关资源，简化运维操作；（供应商需提供有效证明材料）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8、为充分利用云平台的资源，虚拟机需要支持内存回收，在内存不用的时候自动回收给其他虚拟机使用，并支持手动设置平台的内存超配比例，实现内存的超分使用；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、★虚拟机资源告警项支持虚拟机CPU利用率、内存利用率，虚拟机单网口链接session数过高、虚拟机过期时间，并检测异常状态持续时间，支持检测虚拟机镜像文件损坏，备份失败，虚拟机与外部网络不通的监控告警，用户可自定义告警项并支持通过邮件和短信进行告警；（供应商需提供有效证明材料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10、为保障定期升级时平台的稳定性，平台需支持在线升级不影响业务；为保证升级时间与步骤可控，升级过程中支持对升级节点进行升级顺序编排、升级暂停；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、★为避免平台虚拟机误删操作，需支持点击还原按钮，还原回收站列表指定项，可设置回收站文件保留天数，可以查看回收站列表项信息，包括名称、描述、存储和删除时间和保留时间；（供应商需提供有效证明材料）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疾控商密安全网关</w:t>
            </w:r>
          </w:p>
        </w:tc>
        <w:tc>
          <w:tcPr>
            <w:tcW w:w="3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1、机架式设备，配置固态硬盘≥64G，吞吐性能≥1Gbps，IPSEC  VPN可加密性能(SM3+SM4)≥160Mbps，VPN隧道数≥200。接口≥6个千兆电口。具备并提供商用密码认证证书。提供3年质保；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2、具备防火墙、国密VPN传输数据加密(支持国密算法SM2-SM4)等安全相关功能；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3、★支持针对外网线路联通性、DNS连通性、vpn连通性、设备的CPU/内存等信息进行检测，并生成检测报告辅助管理员进行排障；（供应商需提供有效证明材料）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4、★无缝兼容接入安徽省疾控现有商密VPN专网和政务外网数据传输均需加密且符合密码评测要求，并接受省疾控安全管理平台统一纳管和运维，统一下发策略，医疗机构免运维；（供应商需提供有效证明材料）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5、完成食品源、慢病(建设中)等系统与疾控专网的网络对接，确保数据能够实时顺利上传，平滑替代VPN客户端的形式提高网络传输稳定性和安全性；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6、提供3年7*24小时疾控中心专职技术人员远程服务。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前置软件部署调试服务</w:t>
            </w:r>
          </w:p>
        </w:tc>
        <w:tc>
          <w:tcPr>
            <w:tcW w:w="3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（1）前置机操作系统、数据库、前置软件上架前初始化安装；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（2）电子病历厂商的指导评估确认；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（3）国家考核任务对应数据集调试、对接、测试运行、正式运行培训；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）上级平台对应数据集调试、对接、测试运行、正式运行培训：工作包括电子病历库初始化联调接入，质控核查，增量监控，预警模型训练初始化；传报卡、症候群、病原检测信息、可疑传染病电子病历与省统筹传染病自动采集系统联调对接等工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（5）提供麒麟、欧拉、统信（OpenEuler内核版本）等国产操作系统的服务器版，支持并提供openGauss或同等架构的数据库。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集成服务</w:t>
            </w:r>
          </w:p>
        </w:tc>
        <w:tc>
          <w:tcPr>
            <w:tcW w:w="3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服务内容包含但不限于：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（1）首次现场上架及安装调试；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（2）免费提供软件部署服务（三年）；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（3）无缝接入疾控专网，确保医疗机构与省级平台和国家平台连通；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（4）配置完善安全防护策略；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（5）后续疾控相关其他业务的部署及网络对接调试。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HIS接口</w:t>
            </w:r>
          </w:p>
        </w:tc>
        <w:tc>
          <w:tcPr>
            <w:tcW w:w="3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由成交供应商与院内软件厂商自行协商，费用自理。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</w:t>
            </w:r>
          </w:p>
        </w:tc>
      </w:tr>
    </w:tbl>
    <w:p>
      <w:pPr>
        <w:spacing w:line="360" w:lineRule="auto"/>
        <w:rPr>
          <w:b/>
          <w:bCs/>
        </w:rPr>
      </w:pPr>
      <w:bookmarkStart w:id="1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备注：本项目免费三年产品质保、软件升级、软件部署服务期满后，如采购人需要维保升级，后续维保升级等相关费用按照不超过3000元/年的标准支付。</w:t>
      </w: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lYzI5MzliNWQyODQ0ZGRlODQ0NTM5NTMwYmUyMDEifQ=="/>
    <w:docVar w:name="KSO_WPS_MARK_KEY" w:val="6d1bd614-b4e9-4c91-ab2e-542c16d2c68b"/>
  </w:docVars>
  <w:rsids>
    <w:rsidRoot w:val="736C0552"/>
    <w:rsid w:val="040D3AE9"/>
    <w:rsid w:val="736C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adjustRightInd w:val="0"/>
      <w:spacing w:before="260" w:after="260" w:line="416" w:lineRule="atLeast"/>
      <w:jc w:val="left"/>
      <w:textAlignment w:val="baseline"/>
      <w:outlineLvl w:val="1"/>
    </w:pPr>
    <w:rPr>
      <w:rFonts w:ascii="Arial" w:hAnsi="Arial" w:eastAsia="黑体" w:cs="Times New Roman"/>
      <w:b/>
      <w:kern w:val="0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1"/>
    <w:unhideWhenUsed/>
    <w:qFormat/>
    <w:uiPriority w:val="99"/>
    <w:pPr>
      <w:widowControl w:val="0"/>
      <w:spacing w:after="120" w:line="400" w:lineRule="atLeast"/>
      <w:ind w:firstLine="426"/>
      <w:jc w:val="both"/>
    </w:pPr>
    <w:rPr>
      <w:rFonts w:ascii="Times New Roman" w:hAnsi="Times New Roman" w:eastAsia="宋体" w:cs="Times New Roman"/>
      <w:kern w:val="2"/>
      <w:sz w:val="24"/>
      <w:szCs w:val="20"/>
      <w:lang w:val="en-US" w:eastAsia="zh-CN" w:bidi="ar-SA"/>
    </w:rPr>
  </w:style>
  <w:style w:type="paragraph" w:styleId="4">
    <w:name w:val="Body Text"/>
    <w:next w:val="5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style4"/>
    <w:next w:val="6"/>
    <w:qFormat/>
    <w:uiPriority w:val="0"/>
    <w:pPr>
      <w:widowControl/>
      <w:spacing w:before="280" w:after="280"/>
      <w:jc w:val="both"/>
    </w:pPr>
    <w:rPr>
      <w:rFonts w:ascii="宋体" w:hAnsi="Times New Roman" w:eastAsia="宋体" w:cs="Times New Roman"/>
      <w:kern w:val="2"/>
      <w:sz w:val="18"/>
      <w:lang w:val="en-US" w:eastAsia="zh-CN" w:bidi="ar-SA"/>
    </w:rPr>
  </w:style>
  <w:style w:type="paragraph" w:customStyle="1" w:styleId="6">
    <w:name w:val="2"/>
    <w:next w:val="1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1728</Words>
  <Characters>1862</Characters>
  <Lines>0</Lines>
  <Paragraphs>0</Paragraphs>
  <TotalTime>1</TotalTime>
  <ScaleCrop>false</ScaleCrop>
  <LinksUpToDate>false</LinksUpToDate>
  <CharactersWithSpaces>1867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2024-10-30T07:05:00Z</dcterms:created>
  <dc:creator>N</dc:creator>
  <cp:lastModifiedBy>N</cp:lastModifiedBy>
  <dcterms:modified xsi:type="dcterms:W3CDTF">2024-10-30T07:11:31Z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378EC742CF974B15B5263BC6B99CD62B_11</vt:lpwstr>
  </property>
</Properties>
</file>